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client-handover-checklist"/>
    <w:p>
      <w:pPr>
        <w:pStyle w:val="Heading1"/>
      </w:pPr>
      <w:r>
        <w:t xml:space="preserve">Client Handover Checklist</w:t>
      </w:r>
    </w:p>
    <w:p>
      <w:pPr>
        <w:pStyle w:val="FirstParagraph"/>
      </w:pPr>
      <w:r>
        <w:rPr>
          <w:i/>
          <w:iCs/>
        </w:rPr>
        <w:t xml:space="preserve">Template 9 · The Dollar Client Kit · Replace every [placeholder] before sending.</w:t>
      </w:r>
    </w:p>
    <w:p>
      <w:pPr>
        <w:pStyle w:val="BodyText"/>
      </w:pPr>
      <w:r>
        <w:rPr>
          <w:b/>
          <w:bCs/>
        </w:rPr>
        <w:t xml:space="preserve">Project: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Client: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Handover date:</w:t>
      </w:r>
      <w:r>
        <w:t xml:space="preserve"> </w:t>
      </w:r>
      <w:r>
        <w:t xml:space="preserve">[ ]</w:t>
      </w:r>
    </w:p>
    <w:bookmarkStart w:id="9" w:name="before-handover"/>
    <w:p>
      <w:pPr>
        <w:pStyle w:val="Heading2"/>
      </w:pPr>
      <w:r>
        <w:t xml:space="preserve">Before handover</w:t>
      </w:r>
    </w:p>
    <w:p>
      <w:pPr>
        <w:pStyle w:val="Compact"/>
        <w:numPr>
          <w:ilvl w:val="0"/>
          <w:numId w:val="1001"/>
        </w:numPr>
      </w:pPr>
      <w:r>
        <w:t xml:space="preserve">Final balance received (receipt # [ ]).</w:t>
      </w:r>
      <w:r>
        <w:t xml:space="preserve"> </w:t>
      </w:r>
      <w:r>
        <w:rPr>
          <w:b/>
          <w:bCs/>
        </w:rPr>
        <w:t xml:space="preserve">No files go out before this.</w:t>
      </w:r>
    </w:p>
    <w:p>
      <w:pPr>
        <w:pStyle w:val="Compact"/>
        <w:numPr>
          <w:ilvl w:val="0"/>
          <w:numId w:val="1002"/>
        </w:numPr>
      </w:pPr>
      <w:r>
        <w:t xml:space="preserve">All approvals saved in writing</w:t>
      </w:r>
    </w:p>
    <w:p>
      <w:pPr>
        <w:pStyle w:val="Compact"/>
        <w:numPr>
          <w:ilvl w:val="0"/>
          <w:numId w:val="1003"/>
        </w:numPr>
      </w:pPr>
      <w:r>
        <w:t xml:space="preserve">Files proofed: spelling, colour values, alignment</w:t>
      </w:r>
    </w:p>
    <w:bookmarkEnd w:id="9"/>
    <w:bookmarkStart w:id="10" w:name="files-delivered-link-drivedropbox-folder"/>
    <w:p>
      <w:pPr>
        <w:pStyle w:val="Heading2"/>
      </w:pPr>
      <w:r>
        <w:t xml:space="preserve">Files delivered (link: [Drive/Dropbox folder])</w:t>
      </w:r>
    </w:p>
    <w:p>
      <w:pPr>
        <w:pStyle w:val="Compact"/>
        <w:numPr>
          <w:ilvl w:val="0"/>
          <w:numId w:val="1004"/>
        </w:numPr>
      </w:pPr>
      <w:r>
        <w:t xml:space="preserve">Logo suite: SVG, PDF, EPS, PNG (transparent), JPG, in colour, mono and reversed</w:t>
      </w:r>
    </w:p>
    <w:p>
      <w:pPr>
        <w:pStyle w:val="Compact"/>
        <w:numPr>
          <w:ilvl w:val="0"/>
          <w:numId w:val="1005"/>
        </w:numPr>
      </w:pPr>
      <w:r>
        <w:t xml:space="preserve">Favicon / app icon sizes</w:t>
      </w:r>
    </w:p>
    <w:p>
      <w:pPr>
        <w:pStyle w:val="Compact"/>
        <w:numPr>
          <w:ilvl w:val="0"/>
          <w:numId w:val="1006"/>
        </w:numPr>
      </w:pPr>
      <w:r>
        <w:t xml:space="preserve">Colour codes: HEX, RGB, CMYK, [Pantone]</w:t>
      </w:r>
    </w:p>
    <w:p>
      <w:pPr>
        <w:pStyle w:val="Compact"/>
        <w:numPr>
          <w:ilvl w:val="0"/>
          <w:numId w:val="1007"/>
        </w:numPr>
      </w:pPr>
      <w:r>
        <w:t xml:space="preserve">Brand guidelines PDF</w:t>
      </w:r>
    </w:p>
    <w:p>
      <w:pPr>
        <w:pStyle w:val="Compact"/>
        <w:numPr>
          <w:ilvl w:val="0"/>
          <w:numId w:val="1008"/>
        </w:numPr>
      </w:pPr>
      <w:r>
        <w:t xml:space="preserve">Collateral: [list]</w:t>
      </w:r>
    </w:p>
    <w:p>
      <w:pPr>
        <w:pStyle w:val="Compact"/>
        <w:numPr>
          <w:ilvl w:val="0"/>
          <w:numId w:val="1009"/>
        </w:numPr>
      </w:pPr>
      <w:r>
        <w:t xml:space="preserve">Source files [if included in the contract]</w:t>
      </w:r>
    </w:p>
    <w:p>
      <w:pPr>
        <w:pStyle w:val="Compact"/>
        <w:numPr>
          <w:ilvl w:val="0"/>
          <w:numId w:val="1010"/>
        </w:numPr>
      </w:pPr>
      <w:r>
        <w:t xml:space="preserve">Folder structure: /01_Logo /02_Colour /03_Type /04_Guidelines /05_Collateral</w:t>
      </w:r>
    </w:p>
    <w:bookmarkEnd w:id="10"/>
    <w:bookmarkStart w:id="11" w:name="licences-and-rights"/>
    <w:p>
      <w:pPr>
        <w:pStyle w:val="Heading2"/>
      </w:pPr>
      <w:r>
        <w:t xml:space="preserve">Licences and rights</w:t>
      </w:r>
    </w:p>
    <w:p>
      <w:pPr>
        <w:pStyle w:val="Compact"/>
        <w:numPr>
          <w:ilvl w:val="0"/>
          <w:numId w:val="1011"/>
        </w:numPr>
      </w:pPr>
      <w:r>
        <w:t xml:space="preserve">Font list with licence links. Client to buy: [ ]</w:t>
      </w:r>
    </w:p>
    <w:p>
      <w:pPr>
        <w:pStyle w:val="Compact"/>
        <w:numPr>
          <w:ilvl w:val="0"/>
          <w:numId w:val="1012"/>
        </w:numPr>
      </w:pPr>
      <w:r>
        <w:t xml:space="preserve">Stock assets list with licence status</w:t>
      </w:r>
    </w:p>
    <w:p>
      <w:pPr>
        <w:pStyle w:val="Compact"/>
        <w:numPr>
          <w:ilvl w:val="0"/>
          <w:numId w:val="1013"/>
        </w:numPr>
      </w:pPr>
      <w:r>
        <w:t xml:space="preserve">IP transfer confirmation (per contract clause 8.1)</w:t>
      </w:r>
    </w:p>
    <w:bookmarkEnd w:id="11"/>
    <w:bookmarkStart w:id="12" w:name="walkthrough"/>
    <w:p>
      <w:pPr>
        <w:pStyle w:val="Heading2"/>
      </w:pPr>
      <w:r>
        <w:t xml:space="preserve">Walkthrough</w:t>
      </w:r>
    </w:p>
    <w:p>
      <w:pPr>
        <w:pStyle w:val="Compact"/>
        <w:numPr>
          <w:ilvl w:val="0"/>
          <w:numId w:val="1014"/>
        </w:numPr>
      </w:pPr>
      <w:r>
        <w:t xml:space="preserve">Recorded walkthrough (Loom) or call at [time in client’s time zone]</w:t>
      </w:r>
    </w:p>
    <w:p>
      <w:pPr>
        <w:pStyle w:val="Compact"/>
        <w:numPr>
          <w:ilvl w:val="0"/>
          <w:numId w:val="1015"/>
        </w:numPr>
      </w:pPr>
      <w:r>
        <w:t xml:space="preserve">Usage dos and don’ts explained</w:t>
      </w:r>
    </w:p>
    <w:bookmarkEnd w:id="12"/>
    <w:bookmarkStart w:id="13" w:name="after-handover"/>
    <w:p>
      <w:pPr>
        <w:pStyle w:val="Heading2"/>
      </w:pPr>
      <w:r>
        <w:t xml:space="preserve">After handover</w:t>
      </w:r>
    </w:p>
    <w:p>
      <w:pPr>
        <w:pStyle w:val="Compact"/>
        <w:numPr>
          <w:ilvl w:val="0"/>
          <w:numId w:val="1016"/>
        </w:numPr>
      </w:pPr>
      <w:r>
        <w:t xml:space="preserve">Ask for a testimonial (only publish with written permission)</w:t>
      </w:r>
    </w:p>
    <w:p>
      <w:pPr>
        <w:pStyle w:val="Compact"/>
        <w:numPr>
          <w:ilvl w:val="0"/>
          <w:numId w:val="1017"/>
        </w:numPr>
      </w:pPr>
      <w:r>
        <w:t xml:space="preserve">Ask for a referral</w:t>
      </w:r>
    </w:p>
    <w:p>
      <w:pPr>
        <w:pStyle w:val="Compact"/>
        <w:numPr>
          <w:ilvl w:val="0"/>
          <w:numId w:val="1018"/>
        </w:numPr>
      </w:pPr>
      <w:r>
        <w:t xml:space="preserve">Confirm portfolio permission and timing</w:t>
      </w:r>
    </w:p>
    <w:p>
      <w:pPr>
        <w:pStyle w:val="Compact"/>
        <w:numPr>
          <w:ilvl w:val="0"/>
          <w:numId w:val="1019"/>
        </w:numPr>
      </w:pPr>
      <w:r>
        <w:t xml:space="preserve">Offer a retainer / next phase: [ ]</w:t>
      </w:r>
    </w:p>
    <w:p>
      <w:pPr>
        <w:pStyle w:val="Compact"/>
        <w:numPr>
          <w:ilvl w:val="0"/>
          <w:numId w:val="1020"/>
        </w:numPr>
      </w:pPr>
      <w:r>
        <w:t xml:space="preserve">Archive the project; keep files for [X] months</w:t>
      </w:r>
    </w:p>
    <w:p>
      <w:pPr>
        <w:pStyle w:val="Compact"/>
        <w:numPr>
          <w:ilvl w:val="0"/>
          <w:numId w:val="1021"/>
        </w:numPr>
      </w:pPr>
      <w:r>
        <w:t xml:space="preserve">Record income for tax and bookkeeping [VERIFY local rules]</w:t>
      </w:r>
    </w:p>
    <w:bookmarkEnd w:id="13"/>
    <w:bookmarkEnd w:id="14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9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